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04F" w:rsidRPr="00EF751B" w:rsidRDefault="005736BC">
      <w:pPr>
        <w:rPr>
          <w:rFonts w:asciiTheme="majorBidi" w:hAnsiTheme="majorBidi" w:cstheme="majorBidi"/>
          <w:sz w:val="36"/>
          <w:szCs w:val="36"/>
          <w:lang w:val="pt-PT"/>
        </w:rPr>
      </w:pPr>
      <w:r w:rsidRPr="00EF751B">
        <w:rPr>
          <w:rFonts w:asciiTheme="majorBidi" w:hAnsiTheme="majorBidi" w:cstheme="majorBidi"/>
          <w:sz w:val="36"/>
          <w:szCs w:val="36"/>
          <w:lang w:val="pt-PT"/>
        </w:rPr>
        <w:t>500 Series</w:t>
      </w:r>
    </w:p>
    <w:p w:rsidR="005736BC" w:rsidRPr="00EF751B" w:rsidRDefault="005736BC" w:rsidP="005736BC">
      <w:pPr>
        <w:autoSpaceDE w:val="0"/>
        <w:autoSpaceDN w:val="0"/>
        <w:adjustRightInd w:val="0"/>
        <w:rPr>
          <w:rFonts w:asciiTheme="majorBidi" w:hAnsiTheme="majorBidi" w:cstheme="majorBidi"/>
          <w:kern w:val="0"/>
          <w:sz w:val="32"/>
          <w:szCs w:val="32"/>
        </w:rPr>
      </w:pPr>
      <w:r w:rsidRPr="00EF751B">
        <w:rPr>
          <w:rFonts w:asciiTheme="majorBidi" w:hAnsiTheme="majorBidi" w:cstheme="majorBidi"/>
          <w:color w:val="231F20"/>
          <w:kern w:val="0"/>
          <w:sz w:val="32"/>
          <w:szCs w:val="32"/>
        </w:rPr>
        <w:t>CM500 series</w:t>
      </w:r>
    </w:p>
    <w:p w:rsidR="005736BC" w:rsidRPr="00EF751B" w:rsidRDefault="005736BC" w:rsidP="005736BC">
      <w:pPr>
        <w:autoSpaceDE w:val="0"/>
        <w:autoSpaceDN w:val="0"/>
        <w:adjustRightInd w:val="0"/>
        <w:spacing w:before="29"/>
        <w:rPr>
          <w:rFonts w:asciiTheme="majorBidi" w:hAnsiTheme="majorBidi" w:cstheme="majorBidi"/>
          <w:kern w:val="0"/>
          <w:szCs w:val="24"/>
        </w:rPr>
      </w:pPr>
      <w:r w:rsidRPr="00EF751B">
        <w:rPr>
          <w:rFonts w:asciiTheme="majorBidi" w:hAnsiTheme="majorBidi" w:cstheme="majorBidi"/>
          <w:color w:val="231F20"/>
          <w:kern w:val="0"/>
          <w:szCs w:val="24"/>
        </w:rPr>
        <w:t>1. CE mark, fire rated</w:t>
      </w:r>
      <w:bookmarkStart w:id="0" w:name="_GoBack"/>
      <w:bookmarkEnd w:id="0"/>
    </w:p>
    <w:p w:rsidR="005736BC" w:rsidRPr="00EF751B" w:rsidRDefault="005736BC" w:rsidP="005736BC">
      <w:pPr>
        <w:autoSpaceDE w:val="0"/>
        <w:autoSpaceDN w:val="0"/>
        <w:adjustRightInd w:val="0"/>
        <w:spacing w:before="41"/>
        <w:rPr>
          <w:rFonts w:asciiTheme="majorBidi" w:hAnsiTheme="majorBidi" w:cstheme="majorBidi"/>
          <w:kern w:val="0"/>
          <w:szCs w:val="24"/>
        </w:rPr>
      </w:pPr>
      <w:r w:rsidRPr="00EF751B">
        <w:rPr>
          <w:rFonts w:asciiTheme="majorBidi" w:hAnsiTheme="majorBidi" w:cstheme="majorBidi"/>
          <w:color w:val="231F20"/>
          <w:kern w:val="0"/>
          <w:szCs w:val="24"/>
        </w:rPr>
        <w:t>2. EN1125 and EN1634 approved</w:t>
      </w:r>
    </w:p>
    <w:p w:rsidR="005736BC" w:rsidRPr="00EF751B" w:rsidRDefault="005736BC" w:rsidP="005736BC">
      <w:pPr>
        <w:autoSpaceDE w:val="0"/>
        <w:autoSpaceDN w:val="0"/>
        <w:adjustRightInd w:val="0"/>
        <w:spacing w:before="41"/>
        <w:rPr>
          <w:rFonts w:asciiTheme="majorBidi" w:hAnsiTheme="majorBidi" w:cstheme="majorBidi"/>
          <w:kern w:val="0"/>
          <w:szCs w:val="24"/>
        </w:rPr>
      </w:pPr>
      <w:r w:rsidRPr="00EF751B">
        <w:rPr>
          <w:rFonts w:asciiTheme="majorBidi" w:hAnsiTheme="majorBidi" w:cstheme="majorBidi"/>
          <w:color w:val="231F20"/>
          <w:kern w:val="0"/>
          <w:szCs w:val="24"/>
        </w:rPr>
        <w:t>3. None handed</w:t>
      </w:r>
    </w:p>
    <w:p w:rsidR="005736BC" w:rsidRPr="00EF751B" w:rsidRDefault="005736BC" w:rsidP="005736BC">
      <w:pPr>
        <w:autoSpaceDE w:val="0"/>
        <w:autoSpaceDN w:val="0"/>
        <w:adjustRightInd w:val="0"/>
        <w:spacing w:before="41"/>
        <w:rPr>
          <w:rFonts w:asciiTheme="majorBidi" w:hAnsiTheme="majorBidi" w:cstheme="majorBidi"/>
          <w:kern w:val="0"/>
          <w:szCs w:val="24"/>
        </w:rPr>
      </w:pPr>
      <w:r w:rsidRPr="00EF751B">
        <w:rPr>
          <w:rFonts w:asciiTheme="majorBidi" w:hAnsiTheme="majorBidi" w:cstheme="majorBidi"/>
          <w:color w:val="231F20"/>
          <w:kern w:val="0"/>
          <w:szCs w:val="24"/>
        </w:rPr>
        <w:t>4. Pullman latch and lateral latch design</w:t>
      </w:r>
    </w:p>
    <w:p w:rsidR="005736BC" w:rsidRPr="00EF751B" w:rsidRDefault="005736BC" w:rsidP="005736BC">
      <w:pPr>
        <w:autoSpaceDE w:val="0"/>
        <w:autoSpaceDN w:val="0"/>
        <w:adjustRightInd w:val="0"/>
        <w:spacing w:before="41" w:line="283" w:lineRule="auto"/>
        <w:rPr>
          <w:rFonts w:asciiTheme="majorBidi" w:hAnsiTheme="majorBidi" w:cstheme="majorBidi"/>
          <w:kern w:val="0"/>
          <w:szCs w:val="24"/>
        </w:rPr>
      </w:pPr>
      <w:r w:rsidRPr="00EF751B">
        <w:rPr>
          <w:rFonts w:asciiTheme="majorBidi" w:hAnsiTheme="majorBidi" w:cstheme="majorBidi"/>
          <w:color w:val="231F20"/>
          <w:kern w:val="0"/>
          <w:szCs w:val="24"/>
        </w:rPr>
        <w:t>6. Modular design, more than 4 point locks are available 7. Material: stainless steel or steel powder coating</w:t>
      </w:r>
    </w:p>
    <w:p w:rsidR="005736BC" w:rsidRPr="00EF751B" w:rsidRDefault="005736BC" w:rsidP="005736BC">
      <w:pPr>
        <w:autoSpaceDE w:val="0"/>
        <w:autoSpaceDN w:val="0"/>
        <w:adjustRightInd w:val="0"/>
        <w:spacing w:before="7"/>
        <w:rPr>
          <w:rFonts w:asciiTheme="majorBidi" w:hAnsiTheme="majorBidi" w:cstheme="majorBidi"/>
          <w:kern w:val="0"/>
          <w:szCs w:val="24"/>
        </w:rPr>
      </w:pPr>
      <w:r w:rsidRPr="00EF751B">
        <w:rPr>
          <w:rFonts w:asciiTheme="majorBidi" w:hAnsiTheme="majorBidi" w:cstheme="majorBidi"/>
          <w:color w:val="231F20"/>
          <w:kern w:val="0"/>
          <w:szCs w:val="24"/>
        </w:rPr>
        <w:t>8. Difference finish is available</w:t>
      </w:r>
    </w:p>
    <w:p w:rsidR="005736BC" w:rsidRPr="00EF751B" w:rsidRDefault="005736BC">
      <w:pPr>
        <w:rPr>
          <w:rFonts w:asciiTheme="majorBidi" w:hAnsiTheme="majorBidi" w:cstheme="majorBidi"/>
          <w:szCs w:val="24"/>
          <w:lang w:val="pt-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877"/>
        <w:gridCol w:w="555"/>
        <w:gridCol w:w="886"/>
        <w:gridCol w:w="896"/>
        <w:gridCol w:w="859"/>
        <w:gridCol w:w="752"/>
        <w:gridCol w:w="868"/>
        <w:gridCol w:w="868"/>
        <w:gridCol w:w="930"/>
      </w:tblGrid>
      <w:tr w:rsidR="005736BC" w:rsidRPr="00EF751B" w:rsidTr="00EF751B">
        <w:tc>
          <w:tcPr>
            <w:tcW w:w="829" w:type="dxa"/>
            <w:vAlign w:val="center"/>
          </w:tcPr>
          <w:p w:rsidR="005736BC" w:rsidRPr="00EF751B" w:rsidRDefault="005736BC" w:rsidP="00EF75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t>Category of use</w:t>
            </w:r>
          </w:p>
        </w:tc>
        <w:tc>
          <w:tcPr>
            <w:tcW w:w="829" w:type="dxa"/>
            <w:vAlign w:val="center"/>
          </w:tcPr>
          <w:p w:rsidR="005736BC" w:rsidRPr="00EF751B" w:rsidRDefault="005736BC" w:rsidP="00EF75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t>Durability</w:t>
            </w:r>
          </w:p>
        </w:tc>
        <w:tc>
          <w:tcPr>
            <w:tcW w:w="829" w:type="dxa"/>
            <w:vAlign w:val="center"/>
          </w:tcPr>
          <w:p w:rsidR="005736BC" w:rsidRPr="00EF751B" w:rsidRDefault="005736BC" w:rsidP="00EF75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t>Door Mass</w:t>
            </w:r>
          </w:p>
        </w:tc>
        <w:tc>
          <w:tcPr>
            <w:tcW w:w="829" w:type="dxa"/>
            <w:vAlign w:val="center"/>
          </w:tcPr>
          <w:p w:rsidR="005736BC" w:rsidRPr="00EF751B" w:rsidRDefault="005736BC" w:rsidP="00EF75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position w:val="9"/>
                <w:szCs w:val="24"/>
              </w:rPr>
              <w:t>Suitability for use on</w:t>
            </w:r>
          </w:p>
        </w:tc>
        <w:tc>
          <w:tcPr>
            <w:tcW w:w="830" w:type="dxa"/>
            <w:vAlign w:val="center"/>
          </w:tcPr>
          <w:p w:rsidR="005736BC" w:rsidRPr="00EF751B" w:rsidRDefault="005736BC" w:rsidP="00EF75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color w:val="231F20"/>
                <w:w w:val="99"/>
                <w:kern w:val="0"/>
                <w:position w:val="10"/>
                <w:szCs w:val="24"/>
              </w:rPr>
              <w:t>Safety</w:t>
            </w:r>
            <w:r w:rsidRPr="00EF751B">
              <w:rPr>
                <w:rFonts w:asciiTheme="majorBidi" w:hAnsiTheme="majorBidi" w:cstheme="majorBidi"/>
                <w:color w:val="231F20"/>
                <w:w w:val="99"/>
                <w:kern w:val="0"/>
                <w:position w:val="10"/>
                <w:szCs w:val="24"/>
              </w:rPr>
              <w:t xml:space="preserve"> </w:t>
            </w:r>
            <w:r w:rsidRPr="00EF751B">
              <w:rPr>
                <w:rFonts w:asciiTheme="majorBidi" w:hAnsiTheme="majorBidi" w:cstheme="majorBidi"/>
                <w:color w:val="231F20"/>
                <w:w w:val="99"/>
                <w:kern w:val="0"/>
                <w:szCs w:val="24"/>
              </w:rPr>
              <w:t>fire/smoke doors</w:t>
            </w:r>
          </w:p>
        </w:tc>
        <w:tc>
          <w:tcPr>
            <w:tcW w:w="830" w:type="dxa"/>
            <w:vAlign w:val="center"/>
          </w:tcPr>
          <w:p w:rsidR="005736BC" w:rsidRPr="00EF751B" w:rsidRDefault="005736BC" w:rsidP="00EF75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t>Corrosion</w:t>
            </w: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t xml:space="preserve"> </w:t>
            </w: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t>resistance</w:t>
            </w:r>
          </w:p>
        </w:tc>
        <w:tc>
          <w:tcPr>
            <w:tcW w:w="830" w:type="dxa"/>
            <w:vAlign w:val="center"/>
          </w:tcPr>
          <w:p w:rsidR="005736BC" w:rsidRPr="00EF751B" w:rsidRDefault="005736BC" w:rsidP="00EF75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position w:val="7"/>
                <w:szCs w:val="24"/>
              </w:rPr>
              <w:t>Security</w:t>
            </w:r>
          </w:p>
        </w:tc>
        <w:tc>
          <w:tcPr>
            <w:tcW w:w="830" w:type="dxa"/>
            <w:vAlign w:val="center"/>
          </w:tcPr>
          <w:p w:rsidR="005736BC" w:rsidRPr="00EF751B" w:rsidRDefault="005736BC" w:rsidP="00EF75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kern w:val="0"/>
                <w:szCs w:val="24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t>Project of horizontal bar</w:t>
            </w:r>
          </w:p>
        </w:tc>
        <w:tc>
          <w:tcPr>
            <w:tcW w:w="830" w:type="dxa"/>
            <w:vAlign w:val="center"/>
          </w:tcPr>
          <w:p w:rsidR="005736BC" w:rsidRPr="00EF751B" w:rsidRDefault="005736BC" w:rsidP="00EF75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kern w:val="0"/>
                <w:szCs w:val="24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t>Type of horizontal</w:t>
            </w:r>
          </w:p>
          <w:p w:rsidR="005736BC" w:rsidRPr="00EF751B" w:rsidRDefault="005736BC" w:rsidP="00EF75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kern w:val="0"/>
                <w:szCs w:val="24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t>bar operation</w:t>
            </w:r>
          </w:p>
        </w:tc>
        <w:tc>
          <w:tcPr>
            <w:tcW w:w="830" w:type="dxa"/>
            <w:vAlign w:val="center"/>
          </w:tcPr>
          <w:p w:rsidR="005736BC" w:rsidRPr="00EF751B" w:rsidRDefault="005736BC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 xml:space="preserve">Field </w:t>
            </w:r>
            <w:proofErr w:type="spellStart"/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of</w:t>
            </w:r>
            <w:proofErr w:type="spellEnd"/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 xml:space="preserve"> </w:t>
            </w:r>
            <w:proofErr w:type="spellStart"/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Door</w:t>
            </w:r>
            <w:proofErr w:type="spellEnd"/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 xml:space="preserve"> </w:t>
            </w:r>
            <w:proofErr w:type="spellStart"/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application</w:t>
            </w:r>
            <w:proofErr w:type="spellEnd"/>
          </w:p>
        </w:tc>
      </w:tr>
      <w:tr w:rsidR="005736BC" w:rsidRPr="00EF751B" w:rsidTr="00EF751B">
        <w:tc>
          <w:tcPr>
            <w:tcW w:w="829" w:type="dxa"/>
            <w:vAlign w:val="center"/>
          </w:tcPr>
          <w:p w:rsidR="005736BC" w:rsidRPr="00EF751B" w:rsidRDefault="005736BC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3</w:t>
            </w:r>
          </w:p>
        </w:tc>
        <w:tc>
          <w:tcPr>
            <w:tcW w:w="829" w:type="dxa"/>
            <w:vAlign w:val="center"/>
          </w:tcPr>
          <w:p w:rsidR="005736BC" w:rsidRPr="00EF751B" w:rsidRDefault="005736BC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7</w:t>
            </w:r>
          </w:p>
        </w:tc>
        <w:tc>
          <w:tcPr>
            <w:tcW w:w="829" w:type="dxa"/>
            <w:vAlign w:val="center"/>
          </w:tcPr>
          <w:p w:rsidR="005736BC" w:rsidRPr="00EF751B" w:rsidRDefault="005736BC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6</w:t>
            </w:r>
          </w:p>
        </w:tc>
        <w:tc>
          <w:tcPr>
            <w:tcW w:w="829" w:type="dxa"/>
            <w:vAlign w:val="center"/>
          </w:tcPr>
          <w:p w:rsidR="005736BC" w:rsidRPr="00EF751B" w:rsidRDefault="005736BC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B</w:t>
            </w:r>
          </w:p>
        </w:tc>
        <w:tc>
          <w:tcPr>
            <w:tcW w:w="830" w:type="dxa"/>
            <w:vAlign w:val="center"/>
          </w:tcPr>
          <w:p w:rsidR="005736BC" w:rsidRPr="00EF751B" w:rsidRDefault="005736BC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1</w:t>
            </w:r>
          </w:p>
        </w:tc>
        <w:tc>
          <w:tcPr>
            <w:tcW w:w="830" w:type="dxa"/>
            <w:vAlign w:val="center"/>
          </w:tcPr>
          <w:p w:rsidR="005736BC" w:rsidRPr="00EF751B" w:rsidRDefault="005736BC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4</w:t>
            </w:r>
          </w:p>
        </w:tc>
        <w:tc>
          <w:tcPr>
            <w:tcW w:w="830" w:type="dxa"/>
            <w:vAlign w:val="center"/>
          </w:tcPr>
          <w:p w:rsidR="005736BC" w:rsidRPr="00EF751B" w:rsidRDefault="005736BC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2</w:t>
            </w:r>
          </w:p>
        </w:tc>
        <w:tc>
          <w:tcPr>
            <w:tcW w:w="830" w:type="dxa"/>
            <w:vAlign w:val="center"/>
          </w:tcPr>
          <w:p w:rsidR="005736BC" w:rsidRPr="00EF751B" w:rsidRDefault="005736BC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2</w:t>
            </w:r>
          </w:p>
        </w:tc>
        <w:tc>
          <w:tcPr>
            <w:tcW w:w="830" w:type="dxa"/>
            <w:vAlign w:val="center"/>
          </w:tcPr>
          <w:p w:rsidR="005736BC" w:rsidRPr="00EF751B" w:rsidRDefault="005736BC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A</w:t>
            </w:r>
          </w:p>
        </w:tc>
        <w:tc>
          <w:tcPr>
            <w:tcW w:w="830" w:type="dxa"/>
            <w:vAlign w:val="center"/>
          </w:tcPr>
          <w:p w:rsidR="005736BC" w:rsidRPr="00EF751B" w:rsidRDefault="005736BC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A</w:t>
            </w:r>
          </w:p>
        </w:tc>
      </w:tr>
    </w:tbl>
    <w:p w:rsidR="005736BC" w:rsidRPr="00EF751B" w:rsidRDefault="005736BC">
      <w:pPr>
        <w:rPr>
          <w:rFonts w:asciiTheme="majorBidi" w:hAnsiTheme="majorBidi" w:cstheme="majorBidi"/>
          <w:szCs w:val="24"/>
          <w:lang w:val="pt-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2"/>
        <w:gridCol w:w="894"/>
        <w:gridCol w:w="894"/>
        <w:gridCol w:w="894"/>
        <w:gridCol w:w="894"/>
        <w:gridCol w:w="894"/>
        <w:gridCol w:w="894"/>
        <w:gridCol w:w="894"/>
        <w:gridCol w:w="886"/>
      </w:tblGrid>
      <w:tr w:rsidR="000F59F0" w:rsidRPr="00EF751B" w:rsidTr="00EF751B">
        <w:tc>
          <w:tcPr>
            <w:tcW w:w="962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proofErr w:type="spellStart"/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Feature</w:t>
            </w:r>
            <w:proofErr w:type="spellEnd"/>
          </w:p>
        </w:tc>
        <w:tc>
          <w:tcPr>
            <w:tcW w:w="915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ER-CM501</w:t>
            </w:r>
          </w:p>
        </w:tc>
        <w:tc>
          <w:tcPr>
            <w:tcW w:w="915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ER-CM505</w:t>
            </w:r>
          </w:p>
        </w:tc>
        <w:tc>
          <w:tcPr>
            <w:tcW w:w="915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ER-CM50</w:t>
            </w: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6</w:t>
            </w:r>
          </w:p>
        </w:tc>
        <w:tc>
          <w:tcPr>
            <w:tcW w:w="915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ER-CM50</w:t>
            </w: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7</w:t>
            </w:r>
          </w:p>
        </w:tc>
        <w:tc>
          <w:tcPr>
            <w:tcW w:w="915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ER-CM50</w:t>
            </w: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8</w:t>
            </w:r>
          </w:p>
        </w:tc>
        <w:tc>
          <w:tcPr>
            <w:tcW w:w="915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ER-CM50</w:t>
            </w: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9</w:t>
            </w:r>
          </w:p>
        </w:tc>
        <w:tc>
          <w:tcPr>
            <w:tcW w:w="915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ER</w:t>
            </w: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-CM510</w:t>
            </w:r>
          </w:p>
        </w:tc>
        <w:tc>
          <w:tcPr>
            <w:tcW w:w="915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ER</w:t>
            </w: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-CM511</w:t>
            </w:r>
          </w:p>
        </w:tc>
      </w:tr>
      <w:tr w:rsidR="000F59F0" w:rsidRPr="00EF751B" w:rsidTr="00EF751B">
        <w:tc>
          <w:tcPr>
            <w:tcW w:w="962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proofErr w:type="spellStart"/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Lock</w:t>
            </w:r>
            <w:proofErr w:type="spellEnd"/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 xml:space="preserve"> </w:t>
            </w:r>
            <w:proofErr w:type="spellStart"/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Point</w:t>
            </w:r>
            <w:proofErr w:type="spellEnd"/>
          </w:p>
        </w:tc>
        <w:tc>
          <w:tcPr>
            <w:tcW w:w="915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1</w:t>
            </w:r>
          </w:p>
        </w:tc>
        <w:tc>
          <w:tcPr>
            <w:tcW w:w="915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1</w:t>
            </w:r>
          </w:p>
        </w:tc>
        <w:tc>
          <w:tcPr>
            <w:tcW w:w="915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2</w:t>
            </w:r>
          </w:p>
        </w:tc>
        <w:tc>
          <w:tcPr>
            <w:tcW w:w="915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2</w:t>
            </w:r>
          </w:p>
        </w:tc>
        <w:tc>
          <w:tcPr>
            <w:tcW w:w="915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3</w:t>
            </w:r>
          </w:p>
        </w:tc>
        <w:tc>
          <w:tcPr>
            <w:tcW w:w="915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4</w:t>
            </w:r>
          </w:p>
        </w:tc>
        <w:tc>
          <w:tcPr>
            <w:tcW w:w="915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3</w:t>
            </w:r>
          </w:p>
        </w:tc>
        <w:tc>
          <w:tcPr>
            <w:tcW w:w="915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4</w:t>
            </w:r>
          </w:p>
        </w:tc>
      </w:tr>
      <w:tr w:rsidR="000F59F0" w:rsidRPr="00EF751B" w:rsidTr="00EF751B">
        <w:tc>
          <w:tcPr>
            <w:tcW w:w="962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proofErr w:type="spellStart"/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Push</w:t>
            </w:r>
            <w:proofErr w:type="spellEnd"/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 xml:space="preserve"> Bar</w:t>
            </w:r>
          </w:p>
        </w:tc>
        <w:tc>
          <w:tcPr>
            <w:tcW w:w="7320" w:type="dxa"/>
            <w:gridSpan w:val="8"/>
            <w:vAlign w:val="center"/>
          </w:tcPr>
          <w:p w:rsidR="000F59F0" w:rsidRPr="00EF751B" w:rsidRDefault="000F59F0" w:rsidP="00EF751B">
            <w:pPr>
              <w:autoSpaceDE w:val="0"/>
              <w:autoSpaceDN w:val="0"/>
              <w:adjustRightInd w:val="0"/>
              <w:spacing w:line="331" w:lineRule="exact"/>
              <w:ind w:firstLine="2877"/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position w:val="3"/>
                <w:szCs w:val="24"/>
              </w:rPr>
              <w:t>1,000mm length</w:t>
            </w:r>
          </w:p>
        </w:tc>
      </w:tr>
      <w:tr w:rsidR="000F59F0" w:rsidRPr="00EF751B" w:rsidTr="00EF751B">
        <w:tc>
          <w:tcPr>
            <w:tcW w:w="962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proofErr w:type="spellStart"/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Door</w:t>
            </w:r>
            <w:proofErr w:type="spellEnd"/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 xml:space="preserve"> </w:t>
            </w:r>
            <w:proofErr w:type="spellStart"/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Style</w:t>
            </w:r>
            <w:proofErr w:type="spellEnd"/>
          </w:p>
        </w:tc>
        <w:tc>
          <w:tcPr>
            <w:tcW w:w="3660" w:type="dxa"/>
            <w:gridSpan w:val="4"/>
            <w:vAlign w:val="center"/>
          </w:tcPr>
          <w:p w:rsidR="000F59F0" w:rsidRPr="00EF751B" w:rsidRDefault="000F59F0" w:rsidP="00EF75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t>Single and double door</w:t>
            </w:r>
          </w:p>
        </w:tc>
        <w:tc>
          <w:tcPr>
            <w:tcW w:w="1830" w:type="dxa"/>
            <w:gridSpan w:val="2"/>
            <w:vAlign w:val="center"/>
          </w:tcPr>
          <w:p w:rsidR="000F59F0" w:rsidRPr="00EF751B" w:rsidRDefault="000F59F0" w:rsidP="00EF75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t>Single door</w:t>
            </w:r>
          </w:p>
        </w:tc>
        <w:tc>
          <w:tcPr>
            <w:tcW w:w="1830" w:type="dxa"/>
            <w:gridSpan w:val="2"/>
            <w:vAlign w:val="center"/>
          </w:tcPr>
          <w:p w:rsidR="000F59F0" w:rsidRPr="00EF751B" w:rsidRDefault="000F59F0" w:rsidP="00EF75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t>Single and double door</w:t>
            </w:r>
          </w:p>
        </w:tc>
      </w:tr>
      <w:tr w:rsidR="000F59F0" w:rsidRPr="00EF751B" w:rsidTr="00EF751B">
        <w:tc>
          <w:tcPr>
            <w:tcW w:w="962" w:type="dxa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 xml:space="preserve">Max. </w:t>
            </w:r>
            <w:proofErr w:type="spellStart"/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Door</w:t>
            </w:r>
            <w:proofErr w:type="spellEnd"/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 xml:space="preserve"> </w:t>
            </w:r>
            <w:proofErr w:type="spellStart"/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Weight</w:t>
            </w:r>
            <w:proofErr w:type="spellEnd"/>
          </w:p>
        </w:tc>
        <w:tc>
          <w:tcPr>
            <w:tcW w:w="7320" w:type="dxa"/>
            <w:gridSpan w:val="8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200kg.</w:t>
            </w:r>
          </w:p>
        </w:tc>
      </w:tr>
      <w:tr w:rsidR="000F59F0" w:rsidRPr="00EF751B" w:rsidTr="00EF751B">
        <w:tc>
          <w:tcPr>
            <w:tcW w:w="962" w:type="dxa"/>
            <w:vAlign w:val="center"/>
          </w:tcPr>
          <w:p w:rsidR="000F59F0" w:rsidRPr="00EF751B" w:rsidRDefault="000F59F0" w:rsidP="00EF751B">
            <w:pPr>
              <w:autoSpaceDE w:val="0"/>
              <w:autoSpaceDN w:val="0"/>
              <w:adjustRightInd w:val="0"/>
              <w:spacing w:before="128"/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t>Dogging Device</w:t>
            </w:r>
          </w:p>
        </w:tc>
        <w:tc>
          <w:tcPr>
            <w:tcW w:w="7320" w:type="dxa"/>
            <w:gridSpan w:val="8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t>N/A</w:t>
            </w:r>
          </w:p>
        </w:tc>
      </w:tr>
      <w:tr w:rsidR="000F59F0" w:rsidRPr="00EF751B" w:rsidTr="00EF751B">
        <w:tc>
          <w:tcPr>
            <w:tcW w:w="962" w:type="dxa"/>
            <w:vAlign w:val="center"/>
          </w:tcPr>
          <w:p w:rsidR="000F59F0" w:rsidRPr="00EF751B" w:rsidRDefault="000F59F0" w:rsidP="00EF75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t xml:space="preserve">Security Anti-thrust </w:t>
            </w: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lastRenderedPageBreak/>
              <w:t>latch</w:t>
            </w:r>
          </w:p>
        </w:tc>
        <w:tc>
          <w:tcPr>
            <w:tcW w:w="7320" w:type="dxa"/>
            <w:gridSpan w:val="8"/>
            <w:vAlign w:val="center"/>
          </w:tcPr>
          <w:p w:rsidR="000F59F0" w:rsidRPr="00EF751B" w:rsidRDefault="000F59F0" w:rsidP="00EF751B">
            <w:pPr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szCs w:val="24"/>
                <w:lang w:val="pt-PT"/>
              </w:rPr>
              <w:lastRenderedPageBreak/>
              <w:t>N/A</w:t>
            </w:r>
          </w:p>
        </w:tc>
      </w:tr>
      <w:tr w:rsidR="000F59F0" w:rsidRPr="00EF751B" w:rsidTr="00EF751B">
        <w:tc>
          <w:tcPr>
            <w:tcW w:w="962" w:type="dxa"/>
            <w:vAlign w:val="center"/>
          </w:tcPr>
          <w:p w:rsidR="000F59F0" w:rsidRPr="00EF751B" w:rsidRDefault="000F59F0" w:rsidP="00EF751B">
            <w:pPr>
              <w:autoSpaceDE w:val="0"/>
              <w:autoSpaceDN w:val="0"/>
              <w:adjustRightInd w:val="0"/>
              <w:spacing w:before="144"/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t>Door Width*</w:t>
            </w:r>
          </w:p>
        </w:tc>
        <w:tc>
          <w:tcPr>
            <w:tcW w:w="7320" w:type="dxa"/>
            <w:gridSpan w:val="8"/>
            <w:vAlign w:val="center"/>
          </w:tcPr>
          <w:p w:rsidR="000F59F0" w:rsidRPr="00EF751B" w:rsidRDefault="000F59F0" w:rsidP="00EF751B">
            <w:pPr>
              <w:autoSpaceDE w:val="0"/>
              <w:autoSpaceDN w:val="0"/>
              <w:adjustRightInd w:val="0"/>
              <w:spacing w:before="113"/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t>up to 1,500mm</w:t>
            </w:r>
          </w:p>
        </w:tc>
      </w:tr>
      <w:tr w:rsidR="000F59F0" w:rsidRPr="00EF751B" w:rsidTr="00EF751B">
        <w:tc>
          <w:tcPr>
            <w:tcW w:w="962" w:type="dxa"/>
            <w:vAlign w:val="center"/>
          </w:tcPr>
          <w:p w:rsidR="000F59F0" w:rsidRPr="00EF751B" w:rsidRDefault="000F59F0" w:rsidP="00EF751B">
            <w:pPr>
              <w:autoSpaceDE w:val="0"/>
              <w:autoSpaceDN w:val="0"/>
              <w:adjustRightInd w:val="0"/>
              <w:spacing w:before="112"/>
              <w:jc w:val="center"/>
              <w:rPr>
                <w:rFonts w:asciiTheme="majorBidi" w:hAnsiTheme="majorBidi" w:cstheme="majorBidi"/>
                <w:kern w:val="0"/>
                <w:szCs w:val="24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t>Door Height*</w:t>
            </w:r>
          </w:p>
        </w:tc>
        <w:tc>
          <w:tcPr>
            <w:tcW w:w="7320" w:type="dxa"/>
            <w:gridSpan w:val="8"/>
            <w:vAlign w:val="center"/>
          </w:tcPr>
          <w:p w:rsidR="000F59F0" w:rsidRPr="00EF751B" w:rsidRDefault="000F59F0" w:rsidP="00EF75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t>2,133mm</w:t>
            </w:r>
          </w:p>
        </w:tc>
      </w:tr>
      <w:tr w:rsidR="000F59F0" w:rsidRPr="00EF751B" w:rsidTr="00EF751B">
        <w:tc>
          <w:tcPr>
            <w:tcW w:w="962" w:type="dxa"/>
            <w:vAlign w:val="center"/>
          </w:tcPr>
          <w:p w:rsidR="000F59F0" w:rsidRPr="00EF751B" w:rsidRDefault="000F59F0" w:rsidP="00EF75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kern w:val="0"/>
                <w:szCs w:val="24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t>Door thickness*</w:t>
            </w:r>
          </w:p>
        </w:tc>
        <w:tc>
          <w:tcPr>
            <w:tcW w:w="7320" w:type="dxa"/>
            <w:gridSpan w:val="8"/>
            <w:vAlign w:val="center"/>
          </w:tcPr>
          <w:p w:rsidR="000F59F0" w:rsidRPr="00EF751B" w:rsidRDefault="000F59F0" w:rsidP="00EF75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  <w:lang w:val="pt-PT"/>
              </w:rPr>
            </w:pPr>
            <w:r w:rsidRPr="00EF751B">
              <w:rPr>
                <w:rFonts w:asciiTheme="majorBidi" w:hAnsiTheme="majorBidi" w:cstheme="majorBidi"/>
                <w:color w:val="231F20"/>
                <w:kern w:val="0"/>
                <w:szCs w:val="24"/>
              </w:rPr>
              <w:t>50mm</w:t>
            </w:r>
          </w:p>
        </w:tc>
      </w:tr>
    </w:tbl>
    <w:p w:rsidR="005736BC" w:rsidRPr="00EF751B" w:rsidRDefault="000F59F0" w:rsidP="000F59F0">
      <w:pPr>
        <w:autoSpaceDE w:val="0"/>
        <w:autoSpaceDN w:val="0"/>
        <w:adjustRightInd w:val="0"/>
        <w:rPr>
          <w:rFonts w:asciiTheme="majorBidi" w:hAnsiTheme="majorBidi" w:cstheme="majorBidi"/>
          <w:color w:val="231F20"/>
          <w:kern w:val="0"/>
          <w:szCs w:val="24"/>
        </w:rPr>
      </w:pPr>
      <w:r w:rsidRPr="00EF751B">
        <w:rPr>
          <w:rFonts w:asciiTheme="majorBidi" w:hAnsiTheme="majorBidi" w:cstheme="majorBidi"/>
          <w:color w:val="231F20"/>
          <w:kern w:val="0"/>
          <w:szCs w:val="24"/>
        </w:rPr>
        <w:t>*Note: if the door width, door height and door thickness is outside of the specification, the order should mark the special requirement.</w:t>
      </w:r>
    </w:p>
    <w:p w:rsidR="000857B0" w:rsidRPr="00EF751B" w:rsidRDefault="000857B0" w:rsidP="000F59F0">
      <w:pPr>
        <w:autoSpaceDE w:val="0"/>
        <w:autoSpaceDN w:val="0"/>
        <w:adjustRightInd w:val="0"/>
        <w:rPr>
          <w:rFonts w:asciiTheme="majorBidi" w:hAnsiTheme="majorBidi" w:cstheme="majorBidi"/>
          <w:color w:val="231F20"/>
          <w:kern w:val="0"/>
          <w:szCs w:val="24"/>
        </w:rPr>
      </w:pPr>
    </w:p>
    <w:p w:rsidR="000857B0" w:rsidRPr="00EF751B" w:rsidRDefault="000857B0" w:rsidP="000F59F0">
      <w:pPr>
        <w:autoSpaceDE w:val="0"/>
        <w:autoSpaceDN w:val="0"/>
        <w:adjustRightInd w:val="0"/>
        <w:rPr>
          <w:rFonts w:asciiTheme="majorBidi" w:hAnsiTheme="majorBidi" w:cstheme="majorBidi"/>
          <w:color w:val="231F20"/>
          <w:kern w:val="0"/>
          <w:szCs w:val="24"/>
        </w:rPr>
      </w:pPr>
      <w:r w:rsidRPr="00EF751B">
        <w:rPr>
          <w:rFonts w:asciiTheme="majorBidi" w:hAnsiTheme="majorBidi" w:cstheme="majorBidi"/>
          <w:color w:val="231F20"/>
          <w:kern w:val="0"/>
          <w:szCs w:val="24"/>
        </w:rPr>
        <w:t>FOB Kaohsiung, Taiwan</w:t>
      </w:r>
    </w:p>
    <w:p w:rsidR="000857B0" w:rsidRPr="00EF751B" w:rsidRDefault="000857B0" w:rsidP="000F59F0">
      <w:pPr>
        <w:autoSpaceDE w:val="0"/>
        <w:autoSpaceDN w:val="0"/>
        <w:adjustRightInd w:val="0"/>
        <w:rPr>
          <w:rFonts w:asciiTheme="majorBidi" w:hAnsiTheme="majorBidi" w:cstheme="majorBidi"/>
          <w:color w:val="231F20"/>
          <w:kern w:val="0"/>
          <w:szCs w:val="24"/>
        </w:rPr>
      </w:pPr>
      <w:r w:rsidRPr="00EF751B">
        <w:rPr>
          <w:rFonts w:asciiTheme="majorBidi" w:hAnsiTheme="majorBidi" w:cstheme="majorBidi"/>
          <w:color w:val="231F20"/>
          <w:kern w:val="0"/>
          <w:szCs w:val="24"/>
        </w:rPr>
        <w:t>T/T Payment</w:t>
      </w:r>
    </w:p>
    <w:p w:rsidR="000857B0" w:rsidRPr="00EF751B" w:rsidRDefault="000857B0" w:rsidP="000F59F0">
      <w:pPr>
        <w:autoSpaceDE w:val="0"/>
        <w:autoSpaceDN w:val="0"/>
        <w:adjustRightInd w:val="0"/>
        <w:rPr>
          <w:rFonts w:asciiTheme="majorBidi" w:hAnsiTheme="majorBidi" w:cstheme="majorBidi"/>
          <w:szCs w:val="24"/>
        </w:rPr>
      </w:pPr>
      <w:r w:rsidRPr="00EF751B">
        <w:rPr>
          <w:rFonts w:asciiTheme="majorBidi" w:hAnsiTheme="majorBidi" w:cstheme="majorBidi"/>
          <w:color w:val="231F20"/>
          <w:kern w:val="0"/>
          <w:szCs w:val="24"/>
        </w:rPr>
        <w:t>MOQ 84 sets</w:t>
      </w:r>
    </w:p>
    <w:sectPr w:rsidR="000857B0" w:rsidRPr="00EF75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BC"/>
    <w:rsid w:val="000857B0"/>
    <w:rsid w:val="000F59F0"/>
    <w:rsid w:val="001A204F"/>
    <w:rsid w:val="005736BC"/>
    <w:rsid w:val="00E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2A1D"/>
  <w15:chartTrackingRefBased/>
  <w15:docId w15:val="{DB94856F-32F6-4271-8BCB-3F58C5FD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KJTsai</dc:creator>
  <cp:keywords/>
  <dc:description/>
  <cp:lastModifiedBy>KJTsai</cp:lastModifiedBy>
  <cp:revision>3</cp:revision>
  <dcterms:created xsi:type="dcterms:W3CDTF">2017-07-04T06:52:00Z</dcterms:created>
  <dcterms:modified xsi:type="dcterms:W3CDTF">2017-07-04T07:11:00Z</dcterms:modified>
</cp:coreProperties>
</file>